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Челябинской области от 26.01.2022, оставленным без изменения постановлением Восемнадцатого арбитражного апелляционного суда от 14.04.2022 и постановлением Арбитражного суда Уральского округа от 21.07.2022, завершена процедура реализации имущества должника – Разумовой (Ильиной) Е.В. с применением правила об освобождении от дальнейшего исполнения требований кредиторов, в том числе не заявленных при введении процедур реструктуризации и реализации имущества гражданина. Ильин С.Н. обратился в Судебную коллегию Верховного Суда Российской Федерации с кассационной жалобой на принятые судебные акты в части освобождения должника от исполнения обязательств перед кредитором,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Освобождая должника от дальнейшего исполнения требований кредиторов, суды руководствовались положениями статьи 213.28 Федерального закона от 26.10.2002 № 127-ФЗ «О несостоятельности (банкротстве)», разъяснениями, изложенными в пунктах 45, 46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 исходили из отсутствия обстоятельств, свидетельствующих о противоправности действий должника, направленных на умышленное причинение ущерба кредиторам, уклонение от исполнения своих обязательств, сокрытие своего имущества и доходов, воспрепятствование деятельности финансового управляющего, недобросовестном поведении и признаках преднамеренного или фиктивного банкротства.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