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Тульской области от 20.09.2021, оставленным без изменения постановлением Двадцатого арбитражного апелляционного суда от 26.01.2022, установлено, что 90% выручки от реализации имущества должника, находящегося в залоге у банка, подлежит направлению на погашение требований банка. Арбитражный суд Центрального округа постановлением от 15.07.2022, отменив определение от 20.09.2021 и постановление апелляционного суда от 26.01.2022, установил, что погашение земельного налога и налога на имущество, начисленных на предметы залога и относящихся к текущим платежам, производится до распределения в порядке пункта 5 статьи 213.27 Федерального закона от 26.10.2002 № 127-ФЗ «О несостоятельности (банкротстве)» полученных от реализации заложенного имущества денежных средств. В кассационной жалобе банк просит об отмене постановления окружного суда, ссылаясь на неосновательное признание в банкротстве гражданина 2 преимущества налоговой задолженности перед обеспеченной залогом задолженностью.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Позиция окружного суда соответствует судебной практике применения пункта 6 статьи 138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«Траст»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