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20.01.2022, оставленным без изменения постановлением Второго арбитражного апелляционного суда от 12.05.2022 и постановлением Арбитражного суда Волго-Вятского округа от 19.08.2022, в удовлетворении заявления Соколова Н.М. об исправлении описки, допущенной в определении Арбитражного суда Костромской области от 25.03.2021,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Изменение существа мотивировочной части определения, требуемое Соколовым Н.М., не укладывается в пределы статьи 179 Арбитражного процессуального кодекса Российской Федерации, поэтому в ее применении к заявленным обстоятельствам отказано.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