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26.01.2022, оставленным в без изменения постановлением Тринадцатого арбитражного апелляционного суда от 13.04.2022 и постановлением Арбитражного суда Северо-Западного округа от 19.07.2022, иск удовлетворен. В кассационной жалобе общество «Гераклион» просит об отмене судебных актов, ссылаясь на ненадлежащую оценку доказательства причины повреждения груза.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силу статьи 796 Гражданского кодекса Российской Федерации ответственность перевозчика за несохранность груза презюмируется. В рамках данного дела суды установили наступление ответственности общества «Гераклион» как перевозчика за повреждение груза, поэтому обязали его возместить убытки в соответствии со статьями 15 , 393 , 796 Гражданского кодекса Российской Федерации. Возражения заявителя рассмотрены судами, получили правовую оценку и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«Гераклион»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"НПК МОРСВЯЗЬАВТОМАТИКА" (подробнее) Ответчики: ООО "ГЕРАКЛИОН" (подробнее) Иные лица: Межрайонная инспекция Федеральной налоговой службы №19 по Санкт-Петербургу (подробнее) Судьи дела: Ксенофонтова Н.А.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