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23.05.2022, оставленным без изменения постановлением Арбитражного суда Волго-Вятского округа от 16.08.2022,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независимо от причины пропуска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