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06.12.2021, оставленным без изменения постановлением Четырнадцатого арбитражного апелляционного суда от 11.04.2022 и постановлением Арбитражного суда Северо-Западного округа от 10.08.2022, в удовлетворении заявления отказано. В кассационной жалобе Карпова Н.В. просит об отмене судебных актов, ссылаясь на ненадлежащие оценку обстоятельств, связанных с приобретением замещающего жилья и наделением его исполнительским иммунитетом, вывод о составе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разрешение в рамках другого спора вопроса об исполнительском иммунитете в отношении другого жилого помещения, поэтому отказали в удовлетворении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Карповой Нине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