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Возражения против выводов судов, вытекающие из доводов жалобы, основаны на неверном толковании норм процессуального права, заявлены без учета правовой позиции Пленума Верховного Суда Российской Федерации, выраженной в абзаце 2 пункта 29 постановления от 21.01.2016 № 1 «О некоторых вопросах применения законодательства о возмещении издержек, связанных с рассмотрением дела».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Торговый Дом «БТК»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Торговый Дом "БТК" (подробнее) Ответчики: ООО ПЕРМСКАЯ СТАНОЧНАЯ КОМПАНИЯ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