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24.12.2021, оставленным без изменения постановлением Девятого арбитражного апелляционного суда от 17.03.2022 и постановлением Арбитражного суда Московского округа от 14.07.2022, иск удовлетворен. В кассационной жалобе общество «СТМ-Сервис» просит об отмене судебных актов, ссылаясь на применение ненадлежащего срока исковой давности и игнорирование вины истца в возникших убытках.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следует, что убытки возникли не вследствие некачественного выполнения работ, а состоят в причинно- следственной связи с деятельностью ответчика, в связи с чем оснований для применения к правоотношениям сторон срока исковой давности, предусмотренного статьей 725 Гражданского кодекса Российской Федерации, и правила статьи 404 Кодекса не имелось.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«СТМ-Сервис»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