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«Автоматика» (далее – общество «Автоматика») обратилось в Арбитражный суд Свердловской области с исковым заявлением к обществу с ограниченной ответственностью «Энергопром- ЕК» (далее – общество «Энергопром-ЕК») о взыскании 65 286 рублей неосновательного обогащения и 3 876 рублей 02 копеек процентов за пользование чужими денежными средствами. К участию в деле в качестве третьих лиц, не заявляющих самостоятельных требований относительно предмета спора, привлечены Межрайонная инспекция Федеральной налоговой службы России № 24 по Свердловской области (далее – Инспекция), Фомичева Ольга Сергеевна, Усоев Гела Мороевич, Цивилев Алексей Анатольевич. Решением Арбитражного суда Свердловской области от 06.12.2021 требования удовлетворены. Постановлением Семнадцатого арбитражного апелляционного суда от 25.04.2022, оставленным без изменения постановлением арбитражного суда Уральского округа от 23.08.2022, решение от 06.12.2021 отменено, в удовлетворении иска отказано. 2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заявитель указывает, что сама по себе финансовая операция в части уплаты налога за третье лицо не противоречит положениям действующего законодательства.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«Автоматика» перечислило Управлению Федерального казначейства по Свердловской области за общество «Энергопром-ЕК» 65 286 рублей с назначением платежа – налог на доходы физических лиц за июль 2019 года. Инспекция приняла исполнение в соответствии с положениями пункта 1 статьи 45 Налогового кодекса Российской Федерации, предусматривающими уплату налога за налогоплательщика иным лицом. Ссылаясь на отсутствие заключенного между сторонами договора, истец с соблюдением претензионного порядка урегулирования спора (претензия от 14.07.2020 с требованием о возврате уплаченных денежных средств) обратился в арбитражный суд с соответствующим исковым заявлением. Удовлетворяя требования, суд первой инстанции исходил из доказанности факта перечисления истцом за ответчика денежных средств при отсутствии доказательств предоставления встречного исполнения. Повторно исследовав и оценив по правилам статьи 71 АПК РФ представленные доказательства ( в том числе договор поставки от 21.01.2019№21/01-2019 между обществом «Автомтика» и ООО «Уралпромлес», соглашение от 20.06.2019 о расторжении договора поставки от 21.01.2019 №21/01-2019, договор уступки права требования от 12.07.2019 межу ОО «Уралпромлес» и обществом «Энергопром-ЕК», договора уступки права требования от 09.07.2019 между ООО«Уралпромлес» (цендент),обществом «Ремэнергоресурс» (цессионарий) и обществом «Автоматка» (должник), обстоятельства, установленные вступившим в законную силу решением Арбитражного суда Свердловской области от 29.06.2021 по делу №А60- 52452/2021) руководствуясь статьями 10, 168, 1102 Гражданского кодекса Российской Федерации, разъяснениями, изложенными в пункте 1 постановления 3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6 Обзора по отдельным вопросам судебной практики, связанным с принятием судами мер противодействия незаконным финансовым операциям, утвержденного Президиумом Верховного Суда Российской Федерации 08.07.2020, суд апелляционной инстанции, с выводами которого согласился суд округа, отменил решение суда первой инстанции и отказал в удовлетворении требований, указав, что при наличии ограничений, наложенных банком на истца, последним осуществлен налоговый платеж в интересах третьего лица при отсутствии взаимных обязательств, что формально порождает право на получение обратно указанных денежных средств в виде неосновательного обогащения, однако, потому указанная сделка посягает на публичные интересы, что влечет признание ее ничтожной и не порождающей никаких правовых последствий. Несмотря на наличие на стороне ответчика факта сбережения имущества за счет другого лица, удовлетворение требований в рассматриваемой ситуации будет являться поощрением со стороны государства хозяйственных операций, совершенных с целью обхода закона.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«Автоматика»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