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«Корпорация «МСП» обратилось в Арбитражный суд города Москвы с иском об обязании ООО «ТК ТАТ» не позднее 10 рабочих дней с момента вступления в силу решения суда передать истцу оригиналы актов получения груза, оформленных грузополучателями в соответствии с требованиями действующего законодательства и условиями договора. Решением Арбитражного суда города Москвы от 06.12.2021, оставленным без изменения постановлением Девятого арбитражного апелляционного суда от 24.02.2022 и постановлением Арбитражного суда Московского округа от 25.07.2022, в удовлетворении иска отказано. АО «Корпорация МСП»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исходили из недоказанности наличия у ответчика запрашиваемой документации, так как составление такой документации и ее оформление не зависит от ответчика.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