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Тарасенкова А.Т. в Арбитражный суд Пермского края обратился должник с заявлением о признании недействительными торгов по продаже его имущества. Определением Арбитражного суда Пермского края от 04.02.2022, оставленным без изменения постановлением Семнадцатого арбитражного апелляционного суда от 12.05.2022, в удовлетворении заявления отказано. Тарасенков А.Т. обратился в Арбитражный суд Уральского округа с кассационной жалобой на принятые по спору судебные акты, заявив ходатайство о восстановлении пропущенного процессуального срока на ее подачу. Определением Арбитражного суда Уральского округа от 28.07.2022 кассационная жалоба возвращена на основании пункта 2 части 1 статьи 281 Арбитражного процессуального кодекса Российской Федерации в связи с пропуском срока подачи кассационной жалобы и отказом в удовлетворении ходатайства о его восстановлении. Арбитражный суд Уральского округа определением от 15.08.2022 определение окружного суда о возвращении жалобы оставил без изменения. Тарасенков А.Т.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2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жалобы, суд кассационной инстанции руководствовался положениями статей 117, 276,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не зависящими от заявителя и не могли объективно препятствовать своевременной подаче жалобы. Проверив законность вынесенного определения,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