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 в кассационной жалобе отсутствуют ссылки на то, что доводы настоящей кассационной жалобы приводились при рассмотрении кассационной жалобы Арбитражным судом Московского округа и не получили надлежащую правовую оценку.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«Т2 Мобайл»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