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Гравовой Т.Н. и Фомина Ю.А. в Арбитражный суд Московской области обратился финансовый управляющий Гарманов С.Г. с заявлением об установлении процентов по вознаграждению в размере 1 457 190 рублей 49 копеек. Определением Арбитражного суда Московской области от 15.04.2022, оставленным без изменения постановлением Десятого арбитражного апелляционного суда от 07.06.2022 и постановлением Арбитражного суда Московского округа от 18.08.2022, заявление удовлетворено. АКБ «Славия» (АО)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оценили представленные доказательства и, руководствуясь статьями 20.3, 20.6, 20.7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банкротстве», признали, что финансовый управляющий вправе рассчитывать на получение суммы процентов по вознаграждению в заявленном размере, не усмотрев оснований для снижения размера процентов.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