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права, просит отменить судебные акты в части удовлетворения встречного иска и принять в этой части новый судебный акт об отказе в его удовлетворении.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Суды, исследовав и оценив представленные в материалы дела доказательства, руководствуясь статьями 309, 310, 702, 753, 758 Гражданского кодекса Российской Федерации, разъяснениями, изложенными 2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пришли к выводу о наличии оснований для удовлетворения встречного иска и взыскания с заказчика заложенности по договору подряда, поскольку факт выполнения подрядчиком спорных работ и передачи их результата заказчику подтвержден, доказательств выполнения этих работ после получения от заказчика уведомления об отказе от исполнения договора не представлено, соответствующие доводы последнего опровергаются материалами дела. Доводы кассационной жалобы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«Динамика»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