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07.11.2022 обратился в Верховный Суд Российской Федерации с жалобой на определение судьи Верховного Суда Российской Федерации от 17.10.2022 № 301-ЭС22-18483, решение Арбитражного суда Нижегородской области от 04.06.2021, постановление Первого арбитражного апелляционного суда от 21.01.2022 и постановление Арбитражного суда Волго-Вятского округа от 20.06.2022 по делу № А43-18055/2018,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«Специализированный застройщик «Спектр»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