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отменить судебные акты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Суды первой и апелляционной инстанций, исследовав и оценив по правилам статьи 71 Арбитражного процессуального кодекса Российской 2 Федерации представленные в материалы дела доказательства, руководствуясь статьями 309, 310, 702, 711, 753, 758 Гражданского кодекса Российской Федерации, установив факт выполнения истцом работ по спорным договорам, принятия результата этих работ ответчиком и отсутствие доказательств их оплаты, пришли к выводу об удовлетворении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«Ориент»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