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материального и процессуального права, просит отменить судебные акты в части расторжения спорных договоров аренды и оставить исковое заявление в указанной части без рассмотрения.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Суды, исследовав и оценив представленные в материалы дела доказательства, руководствуясь положениями гражданского и банкротного законодательства, установив факт существенных нарушений договорных 2 обязательств со стороны ответчика, пришли к выводу о наличии оснований для расторжения спорных договоров.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«ОВВО»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