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27.12.2021, оставленным без изменения постановлением Девятого арбитражного апелляционного суда от 18.03.2022 и постановлением Арбитражного суда Московского округа от 08.07.2022,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условиями спорного договора, положениями гражданского законодательства, регулирующими спорные правоотношения, установив, что работы по договору обществом не выполнены, договор расторгнут компанией в одностороннем порядке, надлежащих доказательств освоения полученного аванса не представлено, суды первой и апелляционной инстанций пришли к выводу об удовлетворении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«Сайн 24»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