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13.10.2021 в отношении Герасина В.А. введена процедура реструктуризации долгов гражданина, финансовым управляющим утвержден Вдовин М.В. Герасин В.А. обратился в Арбитражный суд города Москвы с заявлением о признании недействительными решений собрания кредиторов должника от 11.05.2022. Определением Арбитражного суда города Москвы от 11.07.2022 в удовлетворении указанного заявления отказано. Постановлением Девятого арбитражного апелляционного суда от 30.08.2022 определение суда первой инстанции оставлено без изменения. Герасин В.А.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2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суды, руководствуясь статьями 12, 15, 213.8 Федерального закона от 26.10.2002 № 127-ФЗ «О несостоятельности (банкротстве)» (далее - Закон о банкротстве), исходили из того, что при проведении собрания кредиторов должника и принятии на нем оспариваемых решений не допущено нарушений, влекущих недействительность таких решений по основаниям пункта 4 статьи 15 Закона о банкротстве, поскольку решения приняты в пределах компетенции правомочного собрания кредиторов должника и не нарушают права и законные интересы как должника и лиц, участвующих в деле о банкротстве, так и иных третьих лиц.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