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Переоценка доказательств, на которую направлены доводы жалобы, и установление на её основе иных фактических обстоятельств дела не относятся к полномочиям Судебной коллегии Верховного Суда Российской Федерации. 2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«СТРОЙПРОМ»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