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администрация обратилась в суд с заявлением о разрешении разногласий с конкурсным управляющим должником Власенко Николаем Владимировичем в отношении определения порядка реализации социально значимых объектов имущества должника, указанных в приложении 5.1 «Лот № 1 основные средства» (далее – лот) к положению о порядке, сроках и условиях объединенной продажи имущества залогового и свободного от обременения имущества должника (далее – положение) в редакции, утвержденной собранием кредиторов от 20.11.2020. Кроме того, в поданном в суд заявлении администрация просила исключить из лота социально значимые объекты, обязать конкурсного управляющего и конкурсных кредиторов сформировать и утвердить общим собранием кредиторов отдельное положение о порядке продажи принадлежащих должнику социально значимых объектов на торгах, проводимых в форме конкурса, предусмотрев в нём, а также в проекте соответствующего договора купли-продажи соответствующие обязательства покупателя (покупателей). 2 Определением Арбитражного суда города Санкт – Петербурга и Ленинградской области от 03.11.2021, оставленным без изменения постановлениями Тринадцатого арбитражного апелляционного суда от 18.03.2022 и Арбитражного суда Северо-Западного округа от 15.07.2022, в удовлетворении заявления отказано, при этом при проведении торгов имуществом, поименованном в положении, конкурсного управляющего обязали раскрывать сведения о вхождении имущества, включенного в единый лот, в состав социально значимых объектов, а также о необходимости соблюдения потенциальными покупателями обязанности обеспечивать тепло-, энерго- и водоснабжение, водоотведение в соответствии с целевым назначением имущества.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разногласия, суды, руководствуясь статьями 60, 129, 132 Федерального закона от 26.10.2002 № 127-ФЗ «О несостоятельности (банкротстве)», исходили из отсутствия оснований для исключения из состава лота спорного имущества (объектов водоснабжения, водоотведения и теплоснабжения), при этом, обязав конкурсного управляющего при проведении торгов имуществом, поименованным в положении, раскрывать сведения о вхождении спорного имущества в состав социально значимых объектов, а также о необходимости соблюдения потенциальными покупателями обязанности обеспечивать тепло-, энерго- и водоснабжение, водоотведение в соответствии с целевым назначением имущества и в целях защиты прав и законных интересов потребителей коммунальных услуг. Выводы судов об отсутствии в рассматриваемом случае нарушений общественных интересов населения муниципального образования, а, следовательно, и администрации, в области энергоснабжения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«Советское городское поселение» Ленинградской области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