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12.10.2021, оставленным без изменения постановлением Третьего арбитражного апелляционного суда от 28.02.2022 и постановлением Арбитражного суда Восточно-Сибирского округа от 12.07.2022, требование общества об уплате денежной суммы в размере 25 445 321 руб. 45 коп. по банковской гарантии, направленное в банк, признано незаконным, с общества в пользу компании взыскано 25 445 321 руб. 45 коп. убытков, в удовлетворении остальной части исковых требований отказано. 2 В кассационной жалобе, поданной в Верховный Суд Российской Федерации, общество, ссылаясь на нарушение судами норм материального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Красноярского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8, 15, 307, 309, 310, 368, 374, 375, 375.1, 377, 379, 401, 405, 406, 702, 740 Гражданского кодекса Российской Федерации, исходили из установленных обстоятельств, свидетельствующих о необоснованности требования общества об уплате денежной суммы по банковской гарантии.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«Аэропорт Емельяново»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