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об установлении не заявленного ранее размера субсидиарной ответственности привлечённых к ней лиц – Исаенко Дмитрия Георгиевича и общества «Рускровля» (ИНН 6685036020) в сумме 412 527 рублей 11 копеек. Определением Арбитражного суда Свердловской области от 08.12.2021 заявление удовлетворено. Постановлением Семнадцатого арбитражного апелляционного суда от 17.03.2022, оставленным без изменения постановлением Арбитражного суда Уральского округа от 08.07.2022, данное определение отменено; в удовлетворении заявления отказано.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оставить в силе определение суда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суды апелляционной инстанции и округа, руководствуясь статьи 61.11, 61.16 Федерального закона от 26.10.2002 № 127-ФЗ «О несостоятельности (банкротстве)», пунктом 56 постановления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не установили оснований для удовлетворения заявления конкурсного управляющего должником, направленного на увеличение размера субсидиарной ответственности путём пересмотра в неустановленном процессуальным законодательством порядке ранее принятых по настоящему делу и вступивших в законную силу судебных актов. Выводы судов апелляционной инстанции и округа соответствуют нормам права, оснований для переоценки этих выводов не имеется. Несогласие заявителей с данными выводами,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«Рускровля» (ИНН 6678066507) Денисову Игорю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