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признании недействительными торгов по продаже имущества должника в форме аукциона, проведенных на электронной торговой площадке «Фабрикант» (сайт www.fabrikant.ru), и заключенных по их итогам договоров купли-продажи от 30.06.2020 № 14, № 15 в отношении лотов № 4 и № 5, применении последствий недействительности сделок. Определением Арбитражного суда Тамбовской области от 02.02.2022, оставленным без изменения постановлениями Девятнадцатого арбитражного апелляционного суда от 19.04.2022 и Арбитражного суда Центрального округа от 13.07.2022,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447, 449 Гражданского кодекса Российской Федерации, статьями 110, 111, 132, 139 Федерального закона от 26.10.2002 № 127-ФЗ «О несостоятельности (банкротстве)», исходили из отсутствия доказательств нарушения порядка и процедуры проведения оспариваемых торгов, прав и законных интересов должника, кредиторов и заявителя, а также оснований для признания недействительными заключенных по их результатам сделок. Выводы судов соответствуют нормам права, оснований их переоценки по доводам жалобы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Лосеву Александру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