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8 ноября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рамках дела о несостоятельности (банкротстве) Кораева А.Р. определением Арбитражного суда Московской области от 22.07.2022, оставленным без изменения постановлением Десятого арбитражного апелляционного суда от 25.08.2022, ходатайство финансового управляющего Шуракова Д.А. о продлении срока реализации имущества гражданина удовлетворено и срок реализации имущества должника продлен на 3 месяца. Кораев А.Р. обратился в Судебную коллегию Верховного Суда Российской Федерации с кассационной жалобой на принятые по спору судебные акты, ссылаясь на существенные нарушения норм права. Согласно пункту 1 части 7 статьи 291.6 Арбитражного процессуального кодекса Российской Федерации по результатам изучения кассационной жалобы судья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Федерации, если отсутствуют основания для пересмотра судебных актов в кассационном порядке.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2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 (часть 1 статьи 291.11 Арбитражного процессуального кодекса Российской Федерации). Таких оснований для пересмотра обжалуемых судебных актов в кассационном порядке по доводам жалобы не установлено. Исходя из вышеизложенного,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имеется. Руководствуясь статьями 291.6, 291.8 Арбитражного процессуального кодекса Российской Федерации, суд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Е.Н. Зарубина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