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Ссылка заявителя на судебную практику не принимается, поскольку отраженные в кассационной жалобе судебные акты приняты по другим фактическим обстоятельствам спора и касаются взыскания размера ущерба непосредственно с причинителя вреда.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Князькову Алексею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