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04.03.2022, оставленным без изменения постановлением Девятого арбитражного апелляционного суда от 04.05.2022 и постановлением Арбитражного суда Московского округа от 19.08.2022, ходатайство финансового управляющего удовлетворено. В кассационной жалобе Иванов М.А. просит об отмене судебных актов, ссылаясь на невыяснение судами обстоятельств спора и непривлечение к участию споре органа опеки.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Доводы о принадлежности спорного объекта недвижимости, ограничении его посещения в связи с домашним арестом должника и непривлечении к участию в деле органа опеки были предметом рассмотрения судов и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М.А.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