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17.02.2022, оставленным без изменения постановлением Девятого арбитражного апелляционного суда от 04.05.2022 и постановлением Арбитражного суда Московского округа от 01.08.2022, заявление удовлетворено. В кассационной жалобе Иванов М.А. просит об отмене судебных актов, ссылаясь на представление финансовому управляющему необходимых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Обоснованность ходатайства финансового управляющего и непринятие возражений должника мотивированы судами. Приводимые в жалобе доводы повторяют заявленные возражения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