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24.12.2021, оставленным без изменения постановлением Девятого арбитражного апелляционного суда от 28.03.2022 и постановлением Арбитражного суда Московского округа от 04.07.2022, в удовлетворении ходатайства отказано. В кассационной жалобе Андреев С.В. просит об отмене судебных актов, ссылаясь на неполное выяснение обстоятельств спора и отсутствие правовых оснований для исключения из конкурсной массы должника автомобиля и жилого дома.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основанный на действующем брачном договоре, заключенном ранее возникновения задолженности перед кредиторами, раздельный режим имущества супругов и отсутствие доказательств возникновения права общей собственности на спорное имущество, в связи с чем отказали в удовлетворении ходатайства в соответствии с пунктом 7 статьи 213.26 Федерального закона от 26.10.2002 №127-ФЗ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