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14.10.2021, оставленным без изменения постановлением Первого арбитражного апелляционного суда от 16.02.2022 и постановлением Арбитражного суда Волго-Вятского округа от 06.07.2022, спорный пункт договора о вознаграждении предприятия от реализации билетов за проезд пассажиров в междугородном сообщении на автобусах автоперевозчика принят в редакции автоперевозчика. В кассационной жалобе предприятие просит об отмене судебных актов как незаконных и необоснованных.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Выводы судов основаны на статье 424 Гражданского кодекса Российской Федерации, нормах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и сложившейся судебной практике. Иная оценка обстоятельств, влияющих на определение цены на услуги,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«Щербинки»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