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09.03.2022, оставленным без изменения постановлением Двадцать первого арбитражного апелляционного суда от 01.07.2022 и постановлением Арбитражного суда Центрального округа от 29.08.2022, заявление удовлетворено. В кассационной жалобе ФИО1 просит об отмене судебных актов, ссылаясь на игнорирование судами наличия у спорного имущества статуса единственного пригодного для проживания семьи должника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 в пользу заинтересованных лиц при наличии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Вопрос о статусе спорного имущества для одаряемых обсужден и установлено, что оно не является единственным пригодным для их проживания жилым помещением. Наличие у имущества такого статуса для должника признано подлежащим разрешению в самостоятельном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"Акционерный банк "Россия" (подробнее) АО "Тинькофф" (подробнее) ООО "Феникс" (подробнее) ПАО "Сбербанк России" (подробнее) Ответчики: Серrеенкова Галина Яковлевна (подробнее) Иные лица: Ассоциация арбитражных управляющих "Солидарность" (подробнее) Департамент образования и науки города Севастополя (подробнее) Территориальный отдел по защите прав несовершеннолетних, опеки и попечительства Гагаринского района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