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09.08.2021 в удовлетворении иска отказано. Двадцатый арбитражный апелляционный суд постановлением от 28.03.2022 решение от 09.08.2021 отменил и иск удовлетворил. Арбитражный суд Центрального округа постановлением от 07.07.2022 постановление апелляционного суда от 28.03.2022 оставил без изменения. В кассационной жалобе общество просит об отмене судебных актов, ссылаясь на неосновательные восстановление истцу срока на подачу апелляционной жалобы и принятие дополнительных доказательств, неверную правовую квалификацию договора, отсутствие доказательств передачи транспортных средств и наличия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Восстановление срока подачи апелляционной жалобы и принятие дополнительных доказательств отнесены к компетенции апелляционного суда, не подлежащей пересмотру в кассационном порядке. Апелляционный суд, повторно рассмотревший дело, оценил условия договора аренды техники от 01.07.2012 № Д-0505-470 и признал требование истца о взыскании задолженности по внесению арендной платы за пользование предоставленной техникой обоснованным в силу статей 431, 614, 625, 632 Гражданского кодекса Российской Федерации,. Иная оценка условий договора и имеющихся доказательств, заложенные в доводах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 «БрянскАгрострой»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