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Тамбовской области от 17.03.2022, оставленным без изменения постановлением Девятнадцатого арбитражного апелляционного суда от 01.06.2022 и постановлением Арбитражного суда Центрального округа от 16.08.2022, в удовлетворении заявления отказано. В кассационной жалобе ФИО1 просит об отмене судебных актов, ссылаясь на неправильную оценку обстоятельств заключения оспариваемого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недействительности сделок и в силу законодательства о банкротстве, и по общегражданским основаниям. Иная оценка обстоятельств заключения спорного договора купли-продажи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Центрального округа (подробнее) ПАО "ПИГМЕНТ" (подробнее) Управление пенсионного фонда РФ в г.Тамбове и Тамбовском районе Тамбовской области (подробнее) УФНС по Тамбовской области (подробнее) ФГБУ "ФКП Росреестра по Тамбовской области"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