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Тюменской области от 27.12.2021, оставленным без изменения постановлением Восьмого арбитражного апелляционного суда от 01.04.2022 и постановлением Арбитражного суда Западно-Сибирского округа от 04.07.2022, заявление удовлетворено. В кассационной жалобе ФИО1 просит об отмене судебных актов, ссылаясь на недоказанность условий для признания сделки недействительной.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мнимый характер сделок по безвозмездному последовательному отчуждению принадлежащего должнику объекта недвижимости в пользу заинтересованных лиц во избежание обращения на него взыскания по долгам, влекущий в силу статей 10 , 170 Гражданского кодекса Российской Федерации недействительность сделок. Доводы ответчика были предметом рассмотрения судов и не создают оснований для пересмотра судебных актов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"Капита Плюс" (подробнее) Иные лица: А В ДОБРОНРАВОВ (подробнее) Арбитражный суд Западно-Сибирского округа (подробнее) КУЧИНА НАТАЛЬЯ АНАТОЛЬЕВНА (подробнее) Межрайонная инспекция Федеральной налоговой службы №17 по Санкт-Петербургу (подробнее) ООО "Аромашевские просторы" (подробнее) ПАО Банк "Финансовая Корпорация Открытие" (подробнее) Судьи дела: Ксенофонтова Н.А.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