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09.12.2021, оставленным без изменения постановлением Восемнадцатого арбитражного апелляционного суда от 03.03.2022 и постановлением Арбитражного суда Уральского округа от 06.07.2022, иск удовлетворен. В кассационной жалобе ответчик просит об отмене судебных актов, ссылаясь на неверную правовую квалификацию заключенного сторонами договора, нарушение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результату исследования обстоятельств дела и представленных доказательств установили, что истец (исполнитель) оказал ответчику (заказчику) услуги по договору от 01.08.2018 № 75/18, которые не были оплачены. Руководствуясь статьями 395 , 779 , 781 Гражданского кодекса Российской Федерации, суды удовлетворили иск, поскольку факты надлежащего оказания истцом услуг и неоплаты их ответчиком подтверждены. Правовая квалификация правоотношений сторон не влияет на обязанность заказчика оплатить услуги при установленном факте их оказания в соответствии с условиями заключенного договора. Вопросы доказывания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«Агидель»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"СОЮЗАВТО" (подробнее) Ответчики: ООО "Торговый дом "Агидель" (подробнее) Иные лица: Арбитражный суд Уральского округа (подробнее) Восемнадцатый арбитражный апелляционный суд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