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02.02.2022 требование кредитора в размере 125 257 700 рублей 05 копеек включено в третью очередь реестра. Пятнадцатый арбитражный апелляционный суд постановлением от 30.05.2022 изменил определение от 02.02.2022 и признал требование кредитора в заявленном размере подлежащим удовлетворению за счет имущества должника, оставшегося после удовлетворения требований кредиторов третьей очереди. Арбитражный суд Северо-Кавказского округа постановлением от 25.07.2022 отменил постановление апелляционного суда от 30.05.2022 и оставил в силе определение от 02.02.2022. В кассационной жалобе общество «ВТБ Факторинг» просит об отмене определения и постановления окружного суда, ссылаясь на неосновательное неприменение правила о понижении очередности требования.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Правило о понижении очередности правомерно не применено в процедуре банкротства физического лица.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«ВТБ Факторинг»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