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18.01.2022, оставленным без изменения постановлением Восьмого арбитражного апелляционного суда от 07.04.2022 и постановлением Арбитражного суда Западно-Сибирского округа от 14.07.2022, в удовлетворении иска отказано. В кассационной жалобе, поданной в Верховный Суд Российской Федерации, администрация,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удовлетворении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Отказывая в удовлетворении иска, суды первой и апелляционной инстанций, с выводами которых согласился суд округа,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8, 15, 393, 702, 779, 781 Гражданского кодекса Российской Федерации, исходили из недоказанности истцом совокупности условий, необходимых для взыскания с ответчика убытков. Доводы кассационной жалобы не свидетельствуют о допущенных судами первой инстанции и округа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Чернолучинского городского поселения Омского муниципального района Омской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