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28.12.2021 требование кредитора в размере 917 341 рубля 80 копеек основного долга, 740 112 рублей 75 копеек процентов, 2 720 641 рубля 13 копеек штрафных санкций и 20 291 рубля 49 копеек государственной пошлины включено в третью очередь реестра с учетом пункта 3 статьи 137 Закона о банкротстве как обеспеченные залогом. Девятый арбитражный апелляционный суд постановлением от 22.03.2022 изменил определение от 28.12.2021, включив в реестр штрафные санкции в размере 917 341 рубля 80 копеек. Арбитражный суд Московского округа постановлением от 06.07.2022 постановление апелляционной инстанции от 22.03.2022 оставил без изменения. В кассационной жалобе Третьяков С.Б. просит об отмене судебных актов, ссылаясь на неправильный размер процентов и неустойки и пропуск срока 2 исковой давности по требованию о взыскании штрафных санкций и договорных процентов.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заявленные к включению в реестр требования основаны на судебном акте, поэтому доводы о размере и сроке исковой давности признали неосновательными.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Третьякову С.Б.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