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17.02.2022, оставленным без изменения постановлением Первого арбитражного апелляционного суда от 14.04.2022 и постановлением Арбитражного суда Волго-Вятского округа от 19.08.2022, в удовлетворении иска отказано. В кассационной жалобе общество «Статус» просит об отмене судебных актов как противоречащих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недоказанность оказания истцом услуг по перевозке груза, разрешили заявленные требования в соответствии со статьями 309, 310, 785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