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Суд апелляционной инстанции, исследовав и оценив представленные в материалы дела доказательства по правилам статьи 71 АПК РФ с учетом заключения дополнительной судебной экспертизы, установив стоимость устранения производственных недостатков, возникших вследствие 2 ненадлежащего выполнения ответчиком работ по договору, которые не могли быть обнаружены при обычном способе приемки результатов работ, руководствуясь статьями 309, 310, 720, 723, 740 Гражданского кодекса Российской Федерации, пришел к выводу о наличии оснований для частичного удовлетворения иска, с чем впоследствии согласился суд округа. Доводы кассационной жалобы не подтверждают существенных нарушений судами апелляционной и кассационной инстанций норм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Специализированный застройщик «СК Континент»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