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20.03.2022, оставленным без изменения постановлением Семнадцатого арбитражного апелляционного суда от 19.05.2022 и постановлением Арбитражного суда Уральского округа от 02.08.2022, заявление признано обоснованным, требования налогового органа к должнику в размере 2 153 169 рублей 66 копеек признано погашенным и произведена его замена на Слесарева Я.Н. В кассационной жалобе Раминская О.Г. просит об отмене судебных актов, ссылаясь на пропуск срока для погашения требования и игнорирование аффилированности должника и Слесарева Я.Н..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статьями 71.1, 85.1, 112.1, 129.1 Федерального закона от 26.10.2002 № 127-ФЗ «О несостоятельности (банкротстве)», установили состоявшийся переход прав от первоначального кредитора (налогового органа) к новому, поэтому произвели замену стороны в соответствии со статьей 48 Арбитражного процессуального кодекса Российской Федерации. Возражения против замены, аналогичные изложенным в жалобе, были предметом исследования и оценки судов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Раминской Ольге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