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Тульской области от 21.02.2022, оставленным без изменения постановлением Двадцатого арбитражного апелляционного суда от 04.05.2022 и постановлением Арбитражного суда Центрального округа от 12.08.2022, требование в размере 4 525 836 рублей включено в третью очередь реестра. В кассационной жалобе ФИО1 просит об отмене судебных актов, ссылаясь на несоответствие выводов судов представленным доказательствам и отсутствие спорной задолженности.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требование основано на судебном акте и соответствует статьям 71 , 100 Федерального закона от 26.10.2002 № 127-ФЗ «О несостоятельности (банкротстве)» и их судебному толкованию. Вопросы доказывания и оценки доказательств, с которыми связаны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"Альфа-Банк" (подробнее) АО "Райффайзенбанк" (подробнее) Управление Федеральной налоговой службы по Тульской области (подробнее) Иные лица: АССОЦИАЦИЯ "УРАЛО-СИБИРСКОЕ ОБЪЕДИНЕНИЕ АРБИТРАЖНЫХ УПРАВЛЯЮЩИХ" (подробнее) Представитель Туробова Е.Р. (подробнее) ф/у Громова Софья Андреевна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