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«Атлантис-Строй» обратилось в Арбитражный суд Московской области с исковым заявлением к обществу с ограниченной ответственностью «Портал-Норд» (далее – Компания) о взыскании 6 899 030 рублей 30 копеек неосновательного обогащения. В свою очередь, Компания заявила встречные требования о взыскании 1 131 045 рублей 04 копеек. Решением Арбитражного суда Московской области от 11.02.2022, оставленным без изменения постановлением Десятого арбитражного апелляционного суда от 05.04.2022 и постановлением Арбитражного суда Московского округа от 24.08.2022, первоначальное исковое заявление удовлетворено, в удовлетворении встречных требований отказано. 2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(далее – Налоговый кодекс)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Компании,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Компанией к ходатайству об отсрочке уплаты государственной пошлины не приложены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(представлены справки за апрель 2022 года).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«Портал-Норд» о предоставлении отсрочки по уплате государственной пошлины отказать. Кассационную жалобу на решение Арбитражного суда Московской области от 11.02.2022, постановление Десятого арбитражного апелляционного суда от 05.04.2022 и постановление Арбитражного суда Московского округа от 24.08.2022 по делу № А41-51816/21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