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30.12.2021, оставленным без изменения постановлением Девятого арбитражного апелляционного суда от 04.03.2022 и постановлением Арбитражного суда Московского округа от 05.07.2022, иск удовлетворен частично.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взыскивая неустойку, суды первой и апелляционной инстанций, с которыми согласился суд округа, руководствовались статьями 309, 310, 330, 333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того, что предусмотренная договором мера ответственности за ненадлежащее исполнение ответчиком обязательств в удовлетворенной части соответствует характеру и последствиям допущенных им нарушений.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«Домтехностиль»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