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23.01.2022, оставленным без изменения постановлением Восьмого арбитражного апелляционного суда от 18.04.2022 и постановлением Арбитражного суда Западно-Сибирского округа от 18.07.2022, заявление удовлетворено, требование управления в размере 1 381 836 рублей 44 копеек включено в третью очередь реестра. В кассационной жалобе банк просит об отмене судебных актов, ссылаясь на отсутствие правового основания возникновения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управления является регрессным, основано на статье 1081 Гражданского кодекса Российской Федерации и допустимо к предъявлению в силу пункта 87 постановления Пленума Верховного Суда Российской Федерации от 17.11.2015 № 50 и пункта 11 Информационного письма Президиума Высшего Арбитражного Суда Российской Федерации от 31.05.2011 № 145.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