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20.10.2021 (с учетом дополнительного решения от 15.11.2021), оставленным без изменения постановлением Четвертого арбитражного апелляционного суда от 04.03.2022 и постановлением Арбитражного суда Восточно-Сибирского округа от 20.07.2022,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удовлетворяя исковые требования, суды первой и апелляционной инстанций, с которыми впоследствии согласился суд округа,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395, 1102, 1107 Гражданского кодекса Российской Федерации, пришли к выводу о наличии на стороне ответчика неосновательного обогащения в заявленном размере и обязанности по его возврату истцу.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«Читаэнергосбыт»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