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20.10.2022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А41-35556/2021 является постановление Арбитражного суда Московского округа от 11.05.2022, вступившее в законную силу, согласно части 5 статьи 289 АПК РФ, со дня его принятия – 11.05.2022, следовательно, двухмесячный срок на подачу кассационной жалобы истек 11.07.2022, тогда как жалоба подана 20.10.2022. Одновременно с подачей жалобы Марцинковской Н.С. заявлено ходатайство о восстановлении пропущенного процессуального срока. В качестве причины пропуска срока указана замена представителя заявителя. Между тем, указанное обстоятельство не является уважительной причиной пропуска срока, установленного статьей 291.2 АПК РФ, и не может продлевать процессуальный срок, поскольку надлежащее оформление кассационной жалобы и ее своевременная подача зависят исключительно от заявителя, несмотря на замену лиц, действующих по доверенности от имени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Московской области от 23.11.2021 по делу № А41-35556/2021, постановление Десятого арбитражного апелляционного суда от 31.01.2022 и постановление Арбитражного суда Московского округа от 11.05.2022 по тому же делу. Жалобу Марцинковской Нино Сергеевны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