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14.12.2021, оставленным без изменения постановлением Седьмого арбитражного апелляционного суда от 02.03.2022 и постановлением Арбитражного суда Западно-Сибирского округа от 06.07.2022, в удовлетворении заявления отказано. В кассационной жалобе департамент просит об отмене судебных актов, указывая на неправильное применение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соответствуют пункту 21 Обзора судебной практики Верховного Суда Российской Федерации № 4 (2017), утвержденного Президиумом Верховного Суда Российской Федерации 15.11.2017, статьям 271, 622 Гражданского кодекса Российской Федерации, нормам Федерального закона от 02.10.2007 № 229-ФЗ «Об исполнительном производстве» и их судебному толкованию. Доводы кассационной жалобы не подтверждают нарушения норм права и не составляют оснований для пересмотра судебных актов Верховным Судом Российской Федерации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имущества и земельных отношений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