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от 22.12.2021, оставленным без изменения постановлением Восьмого арбитражного апелляционного суда от 17.03.2022 и постановлением Арбитражного суда Западно-Сибирского округа от 19.07.2022, исковые требования удовлетворены.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об отказе в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330, 779, 781 Гражданского кодекса Российской Федерации, положениями Федерального закона от 24.06.1998 № 89-ФЗ «Об отходах производства и потребления», Правилами коммерческого учета объема и (или) массы твердых коммунальных отходов, утвержденными постановлением Правительства Российской Федерации от 03.06.2016 № 505, Правилами обращения с твердыми коммунальными отходами, утвержденными постановлением Правительства Российской Федерации от 12.11.2016 № 1156, установив факт оказания обществом (региональный оператор) в спорный период услуг по обращению с твердыми коммунальными отходами на условиях типового договора и неоплаты их предпринимателем, проверив представленный обществом расчет, суды первой и апелляционной инстанций удовлетворили исковые требования, с чем впоследствии согласился суд округа.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Мирончука Михаила Ивановича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