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судов не противоречат правовой позиции, изложенной в Определении Конституционного Суда Российской Федерации от 28.06.2022 № 1702-О.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Акопджанову Гарри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